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5006973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7448857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448857"/>
                              <a:chOff x="0" y="0"/>
                              <a:chExt cx="6858000" cy="7448857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A9F9B" w14:textId="77777777" w:rsidR="00A44AB2" w:rsidRDefault="00A44AB2" w:rsidP="00A44AB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56"/>
                                      <w:szCs w:val="56"/>
                                    </w:rPr>
                                    <w:drawing>
                                      <wp:inline distT="0" distB="0" distL="0" distR="0" wp14:anchorId="57D471D8" wp14:editId="1D719701">
                                        <wp:extent cx="1978152" cy="1798320"/>
                                        <wp:effectExtent l="0" t="0" r="3175" b="0"/>
                                        <wp:docPr id="1" name="Picture 1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Shap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0611" cy="1800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50CBB2" w14:textId="5889EFA6" w:rsidR="0017528F" w:rsidRPr="00FB4084" w:rsidRDefault="00EC1E99" w:rsidP="00A44AB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t>Oscott Academy</w:t>
                                  </w:r>
                                </w:p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2AF3C372" w:rsidR="0017528F" w:rsidRPr="0017528F" w:rsidRDefault="00EA34B8" w:rsidP="00A44AB2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POLICY AND </w:t>
                                      </w:r>
                                      <w:r w:rsidR="00EC1E99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GUIDANCE </w:t>
                                      </w:r>
                                      <w:r w:rsidR="00C2631E"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</w:t>
                                      </w:r>
                                      <w:r w:rsidR="00EC1E99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C2631E"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GCSEs</w:t>
                                      </w:r>
                                      <w:r w:rsidR="00EC1E99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, </w:t>
                                      </w:r>
                                      <w:r w:rsidR="00C2631E"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586.5pt;z-index:-251658240;mso-position-horizontal:center;mso-position-horizontal-relative:page;mso-position-vertical:center;mso-position-vertical-relative:page" coordsize="68580,7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7EBA9F9B" w14:textId="77777777" w:rsidR="00A44AB2" w:rsidRDefault="00A44AB2" w:rsidP="00A44AB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7D471D8" wp14:editId="1D719701">
                                  <wp:extent cx="1978152" cy="1798320"/>
                                  <wp:effectExtent l="0" t="0" r="3175" b="0"/>
                                  <wp:docPr id="1" name="Picture 1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611" cy="1800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0CBB2" w14:textId="5889EFA6" w:rsidR="0017528F" w:rsidRPr="00FB4084" w:rsidRDefault="00EC1E99" w:rsidP="00A44AB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t>Oscott Academy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2AF3C372" w:rsidR="0017528F" w:rsidRPr="0017528F" w:rsidRDefault="00EA34B8" w:rsidP="00A44AB2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POLICY AND </w:t>
                                </w:r>
                                <w:r w:rsidR="00EC1E99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GUIDANCE </w:t>
                                </w:r>
                                <w:r w:rsidR="00C2631E"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</w:t>
                                </w:r>
                                <w:r w:rsidR="00EC1E99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2631E"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GCSEs</w:t>
                                </w:r>
                                <w:r w:rsidR="00EC1E99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="00C2631E"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2"/>
              <w:footerReference w:type="default" r:id="rId13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7CCCE043" w14:textId="0182BFB1" w:rsidR="00EA4C6B" w:rsidRDefault="007E069F" w:rsidP="00C65276">
          <w:pPr>
            <w:pStyle w:val="Heading1"/>
          </w:pPr>
          <w:bookmarkStart w:id="0" w:name="_ANNEX_2:_Worked"/>
          <w:bookmarkEnd w:id="0"/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EC1E99">
            <w:t xml:space="preserve">OSCOTT ACADEMY 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607EF384" w14:textId="48B3981D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1422DDFA" w14:textId="77777777" w:rsidR="00EC1E99" w:rsidRDefault="00EC1E9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CCDE590" w14:textId="2CDF789D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468CC5B8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[INSERT NAME],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45A7F651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[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school/college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]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61193FB8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</w:t>
                </w:r>
                <w:proofErr w:type="spellStart"/>
                <w:r w:rsidRPr="00E275BD">
                  <w:rPr>
                    <w:b/>
                    <w:bCs/>
                    <w:i/>
                    <w:iCs/>
                  </w:rPr>
                  <w:t>SEN</w:t>
                </w:r>
                <w:r w:rsidR="00EC1E99">
                  <w:rPr>
                    <w:b/>
                    <w:bCs/>
                    <w:i/>
                    <w:iCs/>
                  </w:rPr>
                  <w:t>D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  <w:proofErr w:type="spellEnd"/>
              </w:p>
              <w:p w14:paraId="2907FD60" w14:textId="20AE52E8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EC1E99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the 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SEN</w:t>
                </w:r>
                <w:r w:rsidR="00EC1E99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D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C52677" w14:textId="295FF31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EC1E99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60CF3E64" w14:textId="10804216" w:rsidR="009258F9" w:rsidRDefault="009258F9" w:rsidP="001A12A2">
                <w:pPr>
                  <w:contextualSpacing/>
                  <w:rPr>
                    <w:rFonts w:eastAsia="Calibri"/>
                    <w:color w:val="000000" w:themeColor="text1"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3ADA247B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116735B2" w14:textId="344FEB2E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6C41F85" w14:textId="7496E404" w:rsidR="009258F9" w:rsidRPr="00EC1E99" w:rsidRDefault="009258F9" w:rsidP="00EC1E99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0BD522BF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will be</w:t>
                </w:r>
                <w:r w:rsidR="00EC1E99">
                  <w:rPr>
                    <w:rFonts w:eastAsia="Calibri"/>
                    <w:i/>
                    <w:iCs/>
                  </w:rPr>
                  <w:t xml:space="preserve"> Stewart Dance for Mathematics and Natalie Roberts for English.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79871859" w14:textId="42F61A4C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765B9C1D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338101D1" w14:textId="77777777" w:rsidR="00EC1E99" w:rsidRDefault="00EC1E9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5AE8CB10" w14:textId="77777777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include grades from international GCSEs (for example, in mathematics) because we have previously offered these. 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4E5A90A8" w14:textId="73E9AC88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3D2C4DCA" w14:textId="2A25A8E3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4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15902C1C" w14:textId="284262D6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2C7D97FB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>, which will include</w:t>
                </w:r>
                <w:r w:rsidR="00EA34B8">
                  <w:rPr>
                    <w:rFonts w:eastAsia="Calibri"/>
                    <w:i/>
                    <w:iCs/>
                    <w:color w:val="000000" w:themeColor="text1"/>
                  </w:rPr>
                  <w:t xml:space="preserve"> standardisation, hand writing checks and teachers will ensure consistency is the students work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3A005373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</w:t>
                </w:r>
                <w:r w:rsidR="00EA34B8">
                  <w:rPr>
                    <w:rFonts w:eastAsia="Calibri"/>
                    <w:i/>
                    <w:iCs/>
                    <w:color w:val="000000" w:themeColor="text1"/>
                  </w:rPr>
                  <w:t>, AQA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398E2D8E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5F486934" w14:textId="1E768511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5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7E4F863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6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5C77403" w14:textId="564E4485" w:rsidR="009258F9" w:rsidRDefault="009258F9" w:rsidP="009258F9"/>
        <w:p w14:paraId="13A79316" w14:textId="1EC274A2" w:rsidR="00EA34B8" w:rsidRDefault="00EA34B8" w:rsidP="009258F9"/>
        <w:p w14:paraId="250122D3" w14:textId="37A1C66E" w:rsidR="00EA34B8" w:rsidRDefault="00EA34B8" w:rsidP="009258F9"/>
        <w:p w14:paraId="54463244" w14:textId="24033F69" w:rsidR="00EA34B8" w:rsidRDefault="00EA34B8" w:rsidP="009258F9"/>
        <w:p w14:paraId="2BA4576B" w14:textId="5ABA6728" w:rsidR="00EA34B8" w:rsidRDefault="00EA34B8" w:rsidP="009258F9"/>
        <w:p w14:paraId="3C1447B7" w14:textId="77777777" w:rsidR="00EA34B8" w:rsidRDefault="00EA34B8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lastRenderedPageBreak/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54EEF78D" w14:textId="363B1C12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0517E48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47612EB0" w:rsidR="009258F9" w:rsidRDefault="009258F9" w:rsidP="009258F9"/>
        <w:p w14:paraId="7648EA61" w14:textId="66548046" w:rsidR="00EA34B8" w:rsidRDefault="00EA34B8" w:rsidP="009258F9"/>
        <w:p w14:paraId="52C9F324" w14:textId="288193A1" w:rsidR="00EA34B8" w:rsidRDefault="00EA34B8" w:rsidP="009258F9"/>
        <w:p w14:paraId="0E096261" w14:textId="190FE361" w:rsidR="00EA34B8" w:rsidRDefault="00EA34B8" w:rsidP="009258F9"/>
        <w:p w14:paraId="1192C64D" w14:textId="46CE2514" w:rsidR="00EA34B8" w:rsidRDefault="00EA34B8" w:rsidP="009258F9"/>
        <w:p w14:paraId="6D715770" w14:textId="30346876" w:rsidR="00EA34B8" w:rsidRDefault="00EA34B8" w:rsidP="009258F9"/>
        <w:p w14:paraId="65984B9C" w14:textId="1E998A39" w:rsidR="00EA34B8" w:rsidRDefault="00EA34B8" w:rsidP="009258F9"/>
        <w:p w14:paraId="03586B6D" w14:textId="721DE958" w:rsidR="00EA34B8" w:rsidRDefault="00EA34B8" w:rsidP="009258F9"/>
        <w:p w14:paraId="008DD061" w14:textId="5B7FD302" w:rsidR="00EA34B8" w:rsidRDefault="00EA34B8" w:rsidP="009258F9"/>
        <w:p w14:paraId="51CECF4A" w14:textId="77777777" w:rsidR="00EA34B8" w:rsidRDefault="00EA34B8" w:rsidP="009258F9"/>
        <w:p w14:paraId="52BE2915" w14:textId="2743FDB9" w:rsidR="009258F9" w:rsidRDefault="009258F9" w:rsidP="001D2ABF">
          <w:pPr>
            <w:pStyle w:val="Heading2"/>
          </w:pPr>
          <w:r>
            <w:lastRenderedPageBreak/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3392892" w14:textId="28C3681F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AC2723" w:rsidP="00803CEB">
          <w:pPr>
            <w:pStyle w:val="StdPara"/>
          </w:pPr>
        </w:p>
      </w:sdtContent>
    </w:sdt>
    <w:p w14:paraId="66CD1E5A" w14:textId="5D32506B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7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822E" w14:textId="77777777" w:rsidR="00AC2723" w:rsidRDefault="00AC2723" w:rsidP="00454767">
      <w:r>
        <w:separator/>
      </w:r>
    </w:p>
  </w:endnote>
  <w:endnote w:type="continuationSeparator" w:id="0">
    <w:p w14:paraId="6A37DB3E" w14:textId="77777777" w:rsidR="00AC2723" w:rsidRDefault="00AC2723" w:rsidP="00454767">
      <w:r>
        <w:continuationSeparator/>
      </w:r>
    </w:p>
  </w:endnote>
  <w:endnote w:type="continuationNotice" w:id="1">
    <w:p w14:paraId="48B926E3" w14:textId="77777777" w:rsidR="00AC2723" w:rsidRDefault="00AC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Pr="004D2770">
          <w:rPr>
            <w:noProof/>
            <w:color w:val="5B5834"/>
          </w:rPr>
          <w:t>2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EFD7" w14:textId="77777777" w:rsidR="00AC2723" w:rsidRDefault="00AC2723" w:rsidP="00454767">
      <w:r>
        <w:separator/>
      </w:r>
    </w:p>
  </w:footnote>
  <w:footnote w:type="continuationSeparator" w:id="0">
    <w:p w14:paraId="2D55C111" w14:textId="77777777" w:rsidR="00AC2723" w:rsidRDefault="00AC2723" w:rsidP="00454767">
      <w:r>
        <w:continuationSeparator/>
      </w:r>
    </w:p>
  </w:footnote>
  <w:footnote w:type="continuationNotice" w:id="1">
    <w:p w14:paraId="20055D58" w14:textId="77777777" w:rsidR="00AC2723" w:rsidRDefault="00AC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D1C7" w14:textId="3F53395C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6"/>
  </w:num>
  <w:num w:numId="7">
    <w:abstractNumId w:val="21"/>
  </w:num>
  <w:num w:numId="8">
    <w:abstractNumId w:val="25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4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5"/>
  </w:num>
  <w:num w:numId="27">
    <w:abstractNumId w:val="27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29"/>
  </w:num>
  <w:num w:numId="33">
    <w:abstractNumId w:val="23"/>
  </w:num>
  <w:num w:numId="34">
    <w:abstractNumId w:val="3"/>
  </w:num>
  <w:num w:numId="35">
    <w:abstractNumId w:val="28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0CA5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4AB2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723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34B8"/>
    <w:rsid w:val="00EA4C6B"/>
    <w:rsid w:val="00EA50BA"/>
    <w:rsid w:val="00EB2448"/>
    <w:rsid w:val="00EB3883"/>
    <w:rsid w:val="00EB73A4"/>
    <w:rsid w:val="00EC1E99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wp-content/uploads/2020/09/Gen_regs_approved_centres_20-21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jcq.org.uk/exams-office/malpractice/jcq-suspected-malpractice-policies-and-procedures-2019-20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wp-content/uploads/2020/08/A-guide-to-the-spec-con-process-202021-Website-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24680-5877-41C4-B19A-B686A3F3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template</dc:title>
  <dc:subject>POLICY AND GUIDANCE for GCSEs, summer 2021</dc:subject>
  <dc:creator>Philip Wright</dc:creator>
  <cp:keywords/>
  <dc:description/>
  <cp:lastModifiedBy>Stewart Dance</cp:lastModifiedBy>
  <cp:revision>2</cp:revision>
  <dcterms:created xsi:type="dcterms:W3CDTF">2021-04-17T06:53:00Z</dcterms:created>
  <dcterms:modified xsi:type="dcterms:W3CDTF">2021-04-17T06:53:00Z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